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A0" w:rsidRDefault="00C709A0" w:rsidP="00C709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C709A0" w:rsidRDefault="00C709A0" w:rsidP="00C709A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会议信息</w:t>
      </w:r>
    </w:p>
    <w:tbl>
      <w:tblPr>
        <w:tblStyle w:val="a5"/>
        <w:tblW w:w="86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6768"/>
      </w:tblGrid>
      <w:tr w:rsidR="00C709A0" w:rsidTr="00CA10FA">
        <w:trPr>
          <w:trHeight w:val="1404"/>
          <w:jc w:val="center"/>
        </w:trPr>
        <w:tc>
          <w:tcPr>
            <w:tcW w:w="8605" w:type="dxa"/>
            <w:gridSpan w:val="2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  <w:p w:rsidR="00C709A0" w:rsidRDefault="00C709A0" w:rsidP="00CA10FA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sz w:val="30"/>
                <w:szCs w:val="30"/>
              </w:rPr>
              <w:t>中国东盟数字经济发展与合作研讨会</w:t>
            </w:r>
          </w:p>
          <w:p w:rsidR="00C709A0" w:rsidRDefault="00C709A0" w:rsidP="00CA10FA">
            <w:pPr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bCs/>
                <w:sz w:val="30"/>
                <w:szCs w:val="30"/>
              </w:rPr>
              <w:t>2017年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11月</w:t>
            </w: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6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日</w:t>
            </w: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（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星期一</w:t>
            </w: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）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 上海星动力科创空间会议厅</w:t>
            </w:r>
          </w:p>
        </w:tc>
      </w:tr>
      <w:tr w:rsidR="00C709A0" w:rsidTr="00CA10FA">
        <w:trPr>
          <w:trHeight w:val="443"/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9:00-9:30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snapToGrid w:val="0"/>
              <w:spacing w:line="360" w:lineRule="auto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eastAsia="华文仿宋"/>
                <w:sz w:val="28"/>
                <w:szCs w:val="28"/>
              </w:rPr>
              <w:t>开幕式</w:t>
            </w:r>
          </w:p>
        </w:tc>
      </w:tr>
      <w:tr w:rsidR="00C709A0" w:rsidTr="00CA10FA">
        <w:trPr>
          <w:trHeight w:val="90"/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9:30-12:00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pStyle w:val="HTML"/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议题一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：新一代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信息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技术（5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G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、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大数据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、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云计算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、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物联网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等）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助力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数字经济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发展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数字经济——中国创新增长新动能（工信部国际经济技术合作中心信息化研究所副所长 李苑）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数字经济主题（百度研究院）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数字经济发展和实体经济数字化转型（中产华略智库/上海城市创新经济研究中心主管合伙人 丁国杰博士）</w:t>
            </w:r>
          </w:p>
        </w:tc>
      </w:tr>
      <w:tr w:rsidR="00C709A0" w:rsidTr="00CA10FA"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13:30-15:00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pStyle w:val="11"/>
              <w:ind w:firstLineChars="0" w:firstLine="0"/>
              <w:jc w:val="left"/>
              <w:rPr>
                <w:rFonts w:ascii="华文仿宋" w:eastAsia="华文仿宋" w:hAnsi="华文仿宋" w:cs="MS Mincho"/>
                <w:b/>
                <w:bCs/>
                <w:color w:val="21212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宋体"/>
                <w:b/>
                <w:bCs/>
                <w:color w:val="212121"/>
                <w:sz w:val="30"/>
                <w:szCs w:val="30"/>
                <w:shd w:val="clear" w:color="auto" w:fill="FFFFFF"/>
              </w:rPr>
              <w:t>议题</w:t>
            </w:r>
            <w:r>
              <w:rPr>
                <w:rFonts w:ascii="华文仿宋" w:eastAsia="华文仿宋" w:hAnsi="华文仿宋" w:cs="MS Mincho"/>
                <w:b/>
                <w:bCs/>
                <w:color w:val="212121"/>
                <w:sz w:val="30"/>
                <w:szCs w:val="30"/>
                <w:shd w:val="clear" w:color="auto" w:fill="FFFFFF"/>
              </w:rPr>
              <w:t>二：</w:t>
            </w:r>
            <w:r>
              <w:rPr>
                <w:rFonts w:ascii="华文仿宋" w:eastAsia="华文仿宋" w:hAnsi="华文仿宋" w:cs="宋体"/>
                <w:b/>
                <w:bCs/>
                <w:color w:val="212121"/>
                <w:sz w:val="30"/>
                <w:szCs w:val="30"/>
                <w:shd w:val="clear" w:color="auto" w:fill="FFFFFF"/>
              </w:rPr>
              <w:t>东</w:t>
            </w:r>
            <w:r>
              <w:rPr>
                <w:rFonts w:ascii="华文仿宋" w:eastAsia="华文仿宋" w:hAnsi="华文仿宋" w:cs="MS Mincho"/>
                <w:b/>
                <w:bCs/>
                <w:color w:val="212121"/>
                <w:sz w:val="30"/>
                <w:szCs w:val="30"/>
                <w:shd w:val="clear" w:color="auto" w:fill="FFFFFF"/>
              </w:rPr>
              <w:t>盟各国数字</w:t>
            </w:r>
            <w:r>
              <w:rPr>
                <w:rFonts w:ascii="华文仿宋" w:eastAsia="华文仿宋" w:hAnsi="华文仿宋" w:cs="宋体"/>
                <w:b/>
                <w:bCs/>
                <w:color w:val="212121"/>
                <w:sz w:val="30"/>
                <w:szCs w:val="30"/>
                <w:shd w:val="clear" w:color="auto" w:fill="FFFFFF"/>
              </w:rPr>
              <w:t>经济发展状</w:t>
            </w:r>
            <w:r>
              <w:rPr>
                <w:rFonts w:ascii="华文仿宋" w:eastAsia="华文仿宋" w:hAnsi="华文仿宋" w:cs="MS Mincho"/>
                <w:b/>
                <w:bCs/>
                <w:color w:val="212121"/>
                <w:sz w:val="30"/>
                <w:szCs w:val="30"/>
                <w:shd w:val="clear" w:color="auto" w:fill="FFFFFF"/>
              </w:rPr>
              <w:t>况</w:t>
            </w:r>
          </w:p>
          <w:p w:rsidR="00C709A0" w:rsidRDefault="00C709A0" w:rsidP="00CA10FA">
            <w:pPr>
              <w:pStyle w:val="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="华文仿宋" w:eastAsia="华文仿宋" w:hAnsi="华文仿宋" w:cs="MS Mincho"/>
                <w:color w:val="21212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由东盟十国代表讲述本国数字经济发展概况</w:t>
            </w:r>
          </w:p>
        </w:tc>
      </w:tr>
      <w:tr w:rsidR="00C709A0" w:rsidTr="00CA10FA"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15:20-17:20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pStyle w:val="11"/>
              <w:ind w:firstLineChars="0" w:firstLine="0"/>
              <w:jc w:val="left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议题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三：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中国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-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东盟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数字经济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发展与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合作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 xml:space="preserve"> 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数字化时代的智能制造系统和制造设备（航天智造（上海）科技有限责任公司）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上海企业（上海漕河泾开发区科创中心企业）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上海企业（上海漕河泾开发区科创中心企业）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中国-东盟数字经济发展与合作的现状与前景（工信部国际经济技术合作中心信息化研究所高级分析师 张放）</w:t>
            </w:r>
          </w:p>
        </w:tc>
      </w:tr>
      <w:tr w:rsidR="00C709A0" w:rsidTr="00CA10FA">
        <w:trPr>
          <w:trHeight w:val="1444"/>
          <w:jc w:val="center"/>
        </w:trPr>
        <w:tc>
          <w:tcPr>
            <w:tcW w:w="8605" w:type="dxa"/>
            <w:gridSpan w:val="2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lastRenderedPageBreak/>
              <w:t>数字丝绸</w:t>
            </w: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之路发展与合作国际研讨会</w:t>
            </w:r>
          </w:p>
          <w:p w:rsidR="00C709A0" w:rsidRDefault="00C709A0" w:rsidP="00CA10FA">
            <w:pPr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11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华文仿宋" w:eastAsia="华文仿宋" w:hAnsi="华文仿宋"/>
                <w:color w:val="000000"/>
                <w:sz w:val="30"/>
                <w:szCs w:val="30"/>
              </w:rPr>
              <w:t>7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日</w:t>
            </w:r>
            <w:r>
              <w:rPr>
                <w:rFonts w:ascii="华文仿宋" w:eastAsia="华文仿宋" w:hAnsi="华文仿宋"/>
                <w:color w:val="000000"/>
                <w:sz w:val="30"/>
                <w:szCs w:val="30"/>
                <w:lang w:val="en-GB"/>
              </w:rPr>
              <w:t>（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  <w:lang w:val="en-GB"/>
              </w:rPr>
              <w:t>周二</w:t>
            </w:r>
            <w:r>
              <w:rPr>
                <w:rFonts w:ascii="华文仿宋" w:eastAsia="华文仿宋" w:hAnsi="华文仿宋"/>
                <w:color w:val="000000"/>
                <w:sz w:val="30"/>
                <w:szCs w:val="30"/>
                <w:lang w:val="en-GB"/>
              </w:rPr>
              <w:t>）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上海星动力科创空间会议厅</w:t>
            </w:r>
          </w:p>
        </w:tc>
      </w:tr>
      <w:tr w:rsidR="00C709A0" w:rsidTr="00CA10FA">
        <w:trPr>
          <w:trHeight w:val="516"/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 w:rsidR="00C709A0" w:rsidRDefault="00C709A0" w:rsidP="00CA10FA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9:00-9:30</w:t>
            </w:r>
          </w:p>
        </w:tc>
        <w:tc>
          <w:tcPr>
            <w:tcW w:w="6768" w:type="dxa"/>
            <w:tcBorders>
              <w:tl2br w:val="nil"/>
              <w:tr2bl w:val="nil"/>
            </w:tcBorders>
          </w:tcPr>
          <w:p w:rsidR="00C709A0" w:rsidRDefault="00C709A0" w:rsidP="00CA10FA"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开幕式</w:t>
            </w:r>
          </w:p>
        </w:tc>
      </w:tr>
      <w:tr w:rsidR="00C709A0" w:rsidTr="00CA10FA">
        <w:trPr>
          <w:trHeight w:val="516"/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pStyle w:val="11"/>
              <w:ind w:firstLineChars="0" w:firstLine="0"/>
              <w:jc w:val="left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议题一</w:t>
            </w: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：</w:t>
            </w: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数字</w:t>
            </w: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技术赋能</w:t>
            </w: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“</w:t>
            </w: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数字丝绸之路</w:t>
            </w: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 xml:space="preserve"> ”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赋能“数字丝绸之路”——数字革命背景下产业合作与发展（上海社会科学院副院长 王振）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共建数字基础设施、助推“数字丝绸之路”发展（中国电信智能制造基地总经理 周骏）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数字工厂在中国的发展（同济大学中德工程学院）</w:t>
            </w:r>
          </w:p>
        </w:tc>
      </w:tr>
      <w:tr w:rsidR="00C709A0" w:rsidTr="00CA10FA">
        <w:trPr>
          <w:trHeight w:val="90"/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13:30-15: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snapToGrid w:val="0"/>
              <w:spacing w:line="360" w:lineRule="auto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cs="宋体"/>
                <w:b/>
                <w:bCs/>
                <w:color w:val="212121"/>
                <w:sz w:val="30"/>
                <w:szCs w:val="30"/>
                <w:shd w:val="clear" w:color="auto" w:fill="FFFFFF"/>
              </w:rPr>
              <w:t>议题</w:t>
            </w:r>
            <w:r>
              <w:rPr>
                <w:rFonts w:ascii="华文仿宋" w:eastAsia="华文仿宋" w:hAnsi="华文仿宋" w:cs="MS Mincho"/>
                <w:b/>
                <w:bCs/>
                <w:color w:val="212121"/>
                <w:sz w:val="30"/>
                <w:szCs w:val="30"/>
                <w:shd w:val="clear" w:color="auto" w:fill="FFFFFF"/>
              </w:rPr>
              <w:t>二：</w:t>
            </w:r>
            <w:r>
              <w:rPr>
                <w:rFonts w:ascii="华文仿宋" w:eastAsia="华文仿宋" w:hAnsi="华文仿宋" w:cs="MS Mincho" w:hint="eastAsia"/>
                <w:b/>
                <w:bCs/>
                <w:color w:val="212121"/>
                <w:sz w:val="30"/>
                <w:szCs w:val="30"/>
                <w:shd w:val="clear" w:color="auto" w:fill="FFFFFF"/>
              </w:rPr>
              <w:t>亚洲国家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数字</w:t>
            </w: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技术和相关产业发展状况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华文仿宋" w:eastAsia="华文仿宋" w:hAnsi="华文仿宋" w:cs="宋体"/>
                <w:color w:val="212121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由亚洲国家代表介绍本国数字技术和相关产业发展状况</w:t>
            </w:r>
          </w:p>
        </w:tc>
      </w:tr>
      <w:tr w:rsidR="00C709A0" w:rsidTr="00CA10FA">
        <w:trPr>
          <w:trHeight w:val="516"/>
          <w:jc w:val="center"/>
        </w:trPr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0-17: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6768" w:type="dxa"/>
            <w:tcBorders>
              <w:tl2br w:val="nil"/>
              <w:tr2bl w:val="nil"/>
            </w:tcBorders>
            <w:vAlign w:val="center"/>
          </w:tcPr>
          <w:p w:rsidR="00C709A0" w:rsidRDefault="00C709A0" w:rsidP="00CA10FA">
            <w:pPr>
              <w:snapToGrid w:val="0"/>
              <w:spacing w:line="360" w:lineRule="auto"/>
              <w:rPr>
                <w:rFonts w:ascii="华文仿宋" w:eastAsia="华文仿宋" w:hAnsi="华文仿宋" w:cs="宋体"/>
                <w:b/>
                <w:color w:val="21212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议题三</w:t>
            </w: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：</w:t>
            </w:r>
            <w:r>
              <w:rPr>
                <w:rFonts w:ascii="华文仿宋" w:eastAsia="华文仿宋" w:hAnsi="华文仿宋" w:cs="MS Mincho" w:hint="eastAsia"/>
                <w:b/>
                <w:color w:val="212121"/>
                <w:sz w:val="30"/>
                <w:szCs w:val="30"/>
                <w:shd w:val="clear" w:color="auto" w:fill="FFFFFF"/>
              </w:rPr>
              <w:t>“</w:t>
            </w:r>
            <w:r>
              <w:rPr>
                <w:rFonts w:ascii="华文仿宋" w:eastAsia="华文仿宋" w:hAnsi="华文仿宋" w:cs="MS Mincho"/>
                <w:b/>
                <w:color w:val="212121"/>
                <w:sz w:val="30"/>
                <w:szCs w:val="30"/>
                <w:shd w:val="clear" w:color="auto" w:fill="FFFFFF"/>
              </w:rPr>
              <w:t>数字</w:t>
            </w:r>
            <w:r>
              <w:rPr>
                <w:rFonts w:ascii="华文仿宋" w:eastAsia="华文仿宋" w:hAnsi="华文仿宋" w:cs="宋体"/>
                <w:b/>
                <w:color w:val="212121"/>
                <w:sz w:val="30"/>
                <w:szCs w:val="30"/>
                <w:shd w:val="clear" w:color="auto" w:fill="FFFFFF"/>
              </w:rPr>
              <w:t>丝绸</w:t>
            </w:r>
            <w:r>
              <w:rPr>
                <w:rFonts w:ascii="华文仿宋" w:eastAsia="华文仿宋" w:hAnsi="华文仿宋" w:cs="MS Mincho"/>
                <w:b/>
                <w:color w:val="212121"/>
                <w:sz w:val="30"/>
                <w:szCs w:val="30"/>
                <w:shd w:val="clear" w:color="auto" w:fill="FFFFFF"/>
              </w:rPr>
              <w:t>之路</w:t>
            </w:r>
            <w:r>
              <w:rPr>
                <w:rFonts w:ascii="华文仿宋" w:eastAsia="华文仿宋" w:hAnsi="华文仿宋" w:cs="MS Mincho" w:hint="eastAsia"/>
                <w:b/>
                <w:color w:val="212121"/>
                <w:sz w:val="30"/>
                <w:szCs w:val="30"/>
                <w:shd w:val="clear" w:color="auto" w:fill="FFFFFF"/>
              </w:rPr>
              <w:t>”的</w:t>
            </w:r>
            <w:r>
              <w:rPr>
                <w:rFonts w:ascii="华文仿宋" w:eastAsia="华文仿宋" w:hAnsi="华文仿宋" w:cs="宋体"/>
                <w:b/>
                <w:color w:val="212121"/>
                <w:sz w:val="30"/>
                <w:szCs w:val="30"/>
                <w:shd w:val="clear" w:color="auto" w:fill="FFFFFF"/>
              </w:rPr>
              <w:t>发</w:t>
            </w:r>
            <w:r>
              <w:rPr>
                <w:rFonts w:ascii="华文仿宋" w:eastAsia="华文仿宋" w:hAnsi="华文仿宋" w:cs="MS Mincho"/>
                <w:b/>
                <w:color w:val="212121"/>
                <w:sz w:val="30"/>
                <w:szCs w:val="30"/>
                <w:shd w:val="clear" w:color="auto" w:fill="FFFFFF"/>
              </w:rPr>
              <w:t>展机遇与挑</w:t>
            </w:r>
            <w:r>
              <w:rPr>
                <w:rFonts w:ascii="华文仿宋" w:eastAsia="华文仿宋" w:hAnsi="华文仿宋" w:cs="宋体"/>
                <w:b/>
                <w:color w:val="212121"/>
                <w:sz w:val="30"/>
                <w:szCs w:val="30"/>
                <w:shd w:val="clear" w:color="auto" w:fill="FFFFFF"/>
              </w:rPr>
              <w:t>战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“一带一路”基础设施、贸易便利化与数字贸易促进（上海社会科学院世界经济研究所研究员 沈玉良）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智能机器人的发展现状与趋势（中国机器人产业联盟副秘书长 郝玉成）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新型智慧城市相关主题（上海万科集团 张乐群）</w:t>
            </w:r>
          </w:p>
          <w:p w:rsidR="00C709A0" w:rsidRDefault="00C709A0" w:rsidP="00CA10FA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大数据主题（上海宝武集团）</w:t>
            </w:r>
          </w:p>
        </w:tc>
      </w:tr>
    </w:tbl>
    <w:p w:rsidR="008A0B82" w:rsidRPr="00C709A0" w:rsidRDefault="008A0B82">
      <w:bookmarkStart w:id="0" w:name="_GoBack"/>
      <w:bookmarkEnd w:id="0"/>
    </w:p>
    <w:sectPr w:rsidR="008A0B82" w:rsidRPr="00C7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A5" w:rsidRDefault="009F67A5" w:rsidP="00C709A0">
      <w:r>
        <w:separator/>
      </w:r>
    </w:p>
  </w:endnote>
  <w:endnote w:type="continuationSeparator" w:id="0">
    <w:p w:rsidR="009F67A5" w:rsidRDefault="009F67A5" w:rsidP="00C7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A5" w:rsidRDefault="009F67A5" w:rsidP="00C709A0">
      <w:r>
        <w:separator/>
      </w:r>
    </w:p>
  </w:footnote>
  <w:footnote w:type="continuationSeparator" w:id="0">
    <w:p w:rsidR="009F67A5" w:rsidRDefault="009F67A5" w:rsidP="00C7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FD66"/>
    <w:multiLevelType w:val="singleLevel"/>
    <w:tmpl w:val="59ADFD6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59BAAA2E"/>
    <w:multiLevelType w:val="singleLevel"/>
    <w:tmpl w:val="59BAAA2E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14"/>
    <w:rsid w:val="006E2414"/>
    <w:rsid w:val="008A0B82"/>
    <w:rsid w:val="009F67A5"/>
    <w:rsid w:val="00C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2A127-D9FF-43D0-8006-585AF1E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A0"/>
    <w:rPr>
      <w:sz w:val="18"/>
      <w:szCs w:val="18"/>
    </w:rPr>
  </w:style>
  <w:style w:type="paragraph" w:styleId="HTML">
    <w:name w:val="HTML Preformatted"/>
    <w:basedOn w:val="a"/>
    <w:link w:val="HTMLChar"/>
    <w:qFormat/>
    <w:rsid w:val="00C70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709A0"/>
    <w:rPr>
      <w:rFonts w:ascii="Courier New" w:hAnsi="Courier New" w:cs="Times New Roman"/>
      <w:kern w:val="0"/>
      <w:sz w:val="20"/>
      <w:szCs w:val="20"/>
    </w:rPr>
  </w:style>
  <w:style w:type="table" w:styleId="a5">
    <w:name w:val="Table Grid"/>
    <w:basedOn w:val="a1"/>
    <w:qFormat/>
    <w:rsid w:val="00C709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rsid w:val="00C709A0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C709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2017-10-23T07:30:00Z</dcterms:created>
  <dcterms:modified xsi:type="dcterms:W3CDTF">2017-10-23T07:30:00Z</dcterms:modified>
</cp:coreProperties>
</file>