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C3" w:rsidRDefault="00FB60C3" w:rsidP="00FB60C3">
      <w:pPr>
        <w:pageBreakBefore/>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w:t>
      </w:r>
      <w:r>
        <w:rPr>
          <w:rFonts w:ascii="Times New Roman" w:eastAsia="黑体" w:hAnsi="Times New Roman" w:cs="Times New Roman"/>
          <w:sz w:val="32"/>
          <w:szCs w:val="32"/>
        </w:rPr>
        <w:t>1</w:t>
      </w:r>
    </w:p>
    <w:p w:rsidR="00FB60C3" w:rsidRDefault="00FB60C3" w:rsidP="00FB60C3">
      <w:pPr>
        <w:adjustRightInd w:val="0"/>
        <w:snapToGrid w:val="0"/>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课程设置</w:t>
      </w:r>
    </w:p>
    <w:tbl>
      <w:tblPr>
        <w:tblW w:w="94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4"/>
        <w:gridCol w:w="5668"/>
      </w:tblGrid>
      <w:tr w:rsidR="00FB60C3" w:rsidTr="00655760">
        <w:trPr>
          <w:trHeight w:val="482"/>
        </w:trPr>
        <w:tc>
          <w:tcPr>
            <w:tcW w:w="993"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600" w:lineRule="exact"/>
              <w:jc w:val="cente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课程模块</w:t>
            </w:r>
          </w:p>
        </w:tc>
        <w:tc>
          <w:tcPr>
            <w:tcW w:w="2834"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600" w:lineRule="exact"/>
              <w:jc w:val="cente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课题</w:t>
            </w:r>
          </w:p>
        </w:tc>
        <w:tc>
          <w:tcPr>
            <w:tcW w:w="5668"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600" w:lineRule="exact"/>
              <w:ind w:firstLine="600"/>
              <w:jc w:val="cente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课程内容</w:t>
            </w:r>
          </w:p>
        </w:tc>
      </w:tr>
      <w:tr w:rsidR="00FB60C3" w:rsidTr="00655760">
        <w:trPr>
          <w:trHeight w:val="475"/>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360" w:lineRule="auto"/>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基础课程</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企业国际化经营战略</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跨国公司的架构和组织形式</w:t>
            </w:r>
          </w:p>
        </w:tc>
      </w:tr>
      <w:tr w:rsidR="00FB60C3" w:rsidTr="00655760">
        <w:trPr>
          <w:trHeight w:val="380"/>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国际市场战略决策的框架和要素</w:t>
            </w:r>
          </w:p>
        </w:tc>
      </w:tr>
      <w:tr w:rsidR="00FB60C3" w:rsidTr="00655760">
        <w:trPr>
          <w:trHeight w:val="459"/>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b/>
                <w:sz w:val="30"/>
                <w:szCs w:val="30"/>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跨国企业品牌创新与营销整合</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跨国公司的全球化与本土化品牌整合策略</w:t>
            </w:r>
          </w:p>
        </w:tc>
      </w:tr>
      <w:tr w:rsidR="00FB60C3" w:rsidTr="00655760">
        <w:trPr>
          <w:trHeight w:val="395"/>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跨国公司的国际营销战略创新</w:t>
            </w:r>
          </w:p>
        </w:tc>
      </w:tr>
      <w:tr w:rsidR="00FB60C3" w:rsidTr="00655760">
        <w:trPr>
          <w:trHeight w:val="475"/>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跨国企业案例研析</w:t>
            </w:r>
          </w:p>
        </w:tc>
      </w:tr>
      <w:tr w:rsidR="00FB60C3" w:rsidTr="00655760">
        <w:trPr>
          <w:trHeight w:val="465"/>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360" w:lineRule="auto"/>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公共课程</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企业文化管理与提升</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国际化人才的素质特殊需求和培养计划</w:t>
            </w:r>
          </w:p>
        </w:tc>
      </w:tr>
      <w:tr w:rsidR="00FB60C3" w:rsidTr="00655760">
        <w:trPr>
          <w:trHeight w:val="400"/>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跨文化沟通的能力和技巧</w:t>
            </w:r>
          </w:p>
        </w:tc>
      </w:tr>
      <w:tr w:rsidR="00FB60C3" w:rsidTr="00655760">
        <w:trPr>
          <w:trHeight w:val="422"/>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b/>
                <w:sz w:val="30"/>
                <w:szCs w:val="30"/>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互联网时代管理战略与营销模式</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中国互联网战略与电子商务政策解析</w:t>
            </w:r>
            <w:r>
              <w:rPr>
                <w:rFonts w:ascii="Times New Roman" w:eastAsia="仿宋_GB2312" w:hAnsi="Times New Roman" w:cs="Times New Roman"/>
                <w:sz w:val="28"/>
                <w:szCs w:val="28"/>
              </w:rPr>
              <w:t> </w:t>
            </w:r>
          </w:p>
        </w:tc>
      </w:tr>
      <w:tr w:rsidR="00FB60C3" w:rsidTr="00655760">
        <w:trPr>
          <w:trHeight w:val="458"/>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跨境电子商务创新发展</w:t>
            </w:r>
          </w:p>
        </w:tc>
      </w:tr>
      <w:tr w:rsidR="00FB60C3" w:rsidTr="00655760">
        <w:trPr>
          <w:trHeight w:val="437"/>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b/>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案例研析</w:t>
            </w:r>
          </w:p>
        </w:tc>
      </w:tr>
      <w:tr w:rsidR="00FB60C3" w:rsidTr="00655760">
        <w:trPr>
          <w:trHeight w:val="423"/>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360" w:lineRule="auto"/>
              <w:jc w:val="center"/>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特色课程</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国家对外经贸战略解析及政策解读</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战略背景与中小企业发展机遇</w:t>
            </w:r>
          </w:p>
        </w:tc>
      </w:tr>
      <w:tr w:rsidR="00FB60C3" w:rsidTr="00655760">
        <w:trPr>
          <w:trHeight w:val="720"/>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中国对外贸易投资和经济合作总体形势和政策措施</w:t>
            </w:r>
          </w:p>
        </w:tc>
      </w:tr>
      <w:tr w:rsidR="00FB60C3" w:rsidTr="00655760">
        <w:trPr>
          <w:trHeight w:val="1302"/>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《中国制造</w:t>
            </w:r>
            <w:r>
              <w:rPr>
                <w:rFonts w:ascii="Times New Roman" w:eastAsia="仿宋_GB2312" w:hAnsi="Times New Roman" w:cs="Times New Roman"/>
                <w:sz w:val="28"/>
                <w:szCs w:val="28"/>
              </w:rPr>
              <w:t>2025</w:t>
            </w:r>
            <w:r>
              <w:rPr>
                <w:rFonts w:ascii="Times New Roman" w:eastAsia="仿宋_GB2312" w:hAnsi="Times New Roman" w:cs="Times New Roman" w:hint="eastAsia"/>
                <w:sz w:val="28"/>
                <w:szCs w:val="28"/>
              </w:rPr>
              <w:t>》、国际产能和装备制造业合作战略布局、重点产业发展领域和国家相关扶持政策措施</w:t>
            </w:r>
          </w:p>
        </w:tc>
      </w:tr>
      <w:tr w:rsidR="00FB60C3" w:rsidTr="00655760">
        <w:trPr>
          <w:trHeight w:val="429"/>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企业对外贸易投资税收优惠政策</w:t>
            </w:r>
          </w:p>
        </w:tc>
      </w:tr>
      <w:tr w:rsidR="00FB60C3" w:rsidTr="00655760">
        <w:trPr>
          <w:trHeight w:val="790"/>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国家外汇管理最新政策与企业对外投资外汇管理体制</w:t>
            </w:r>
          </w:p>
        </w:tc>
      </w:tr>
      <w:tr w:rsidR="00FB60C3" w:rsidTr="00655760">
        <w:trPr>
          <w:trHeight w:val="393"/>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境外经贸合作区运营现状和发展趋势</w:t>
            </w:r>
          </w:p>
        </w:tc>
      </w:tr>
      <w:tr w:rsidR="00FB60C3" w:rsidTr="00655760">
        <w:trPr>
          <w:trHeight w:val="502"/>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企业国际化经营管理</w:t>
            </w:r>
            <w:r>
              <w:rPr>
                <w:rFonts w:ascii="Times New Roman" w:eastAsia="仿宋_GB2312" w:hAnsi="Times New Roman" w:cs="Times New Roman" w:hint="eastAsia"/>
                <w:sz w:val="28"/>
                <w:szCs w:val="28"/>
              </w:rPr>
              <w:lastRenderedPageBreak/>
              <w:t>实务</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中小企业对外贸易投资知识产权保护</w:t>
            </w:r>
          </w:p>
        </w:tc>
      </w:tr>
      <w:tr w:rsidR="00FB60C3" w:rsidTr="00655760">
        <w:trPr>
          <w:trHeight w:val="516"/>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中小企业对外贸易投资方式及筹融资渠道</w:t>
            </w:r>
          </w:p>
        </w:tc>
      </w:tr>
      <w:tr w:rsidR="00FB60C3" w:rsidTr="00655760">
        <w:trPr>
          <w:trHeight w:val="558"/>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企业对外贸易投资投融资架构与税务筹划</w:t>
            </w:r>
          </w:p>
        </w:tc>
      </w:tr>
      <w:tr w:rsidR="00FB60C3" w:rsidTr="00655760">
        <w:trPr>
          <w:trHeight w:val="469"/>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多双边自由贸易协定（</w:t>
            </w:r>
            <w:r>
              <w:rPr>
                <w:rFonts w:ascii="Times New Roman" w:eastAsia="仿宋_GB2312" w:hAnsi="Times New Roman" w:cs="Times New Roman"/>
                <w:sz w:val="28"/>
                <w:szCs w:val="28"/>
              </w:rPr>
              <w:t>FTA</w:t>
            </w:r>
            <w:r>
              <w:rPr>
                <w:rFonts w:ascii="Times New Roman" w:eastAsia="仿宋_GB2312" w:hAnsi="Times New Roman" w:cs="Times New Roman" w:hint="eastAsia"/>
                <w:sz w:val="28"/>
                <w:szCs w:val="28"/>
              </w:rPr>
              <w:t>）应用</w:t>
            </w:r>
          </w:p>
        </w:tc>
      </w:tr>
      <w:tr w:rsidR="00FB60C3" w:rsidTr="00655760">
        <w:trPr>
          <w:trHeight w:val="543"/>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企业国际化管理经营风险防范</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对外贸易投资金融风险管理与防范</w:t>
            </w:r>
          </w:p>
        </w:tc>
      </w:tr>
      <w:tr w:rsidR="00FB60C3" w:rsidTr="00655760">
        <w:trPr>
          <w:trHeight w:val="483"/>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对外贸易投资法律风险防范</w:t>
            </w:r>
          </w:p>
        </w:tc>
      </w:tr>
      <w:tr w:rsidR="00FB60C3" w:rsidTr="00655760">
        <w:trPr>
          <w:trHeight w:val="469"/>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对外贸易投资保险、担保安排策略及实用性建议</w:t>
            </w:r>
          </w:p>
        </w:tc>
      </w:tr>
      <w:tr w:rsidR="00FB60C3" w:rsidTr="00655760">
        <w:trPr>
          <w:trHeight w:val="488"/>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企业对外贸易投资争议纠纷解决</w:t>
            </w:r>
          </w:p>
        </w:tc>
      </w:tr>
      <w:tr w:rsidR="00FB60C3" w:rsidTr="00655760">
        <w:trPr>
          <w:trHeight w:val="567"/>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热点国别和地区经济发展及贸易投资环境</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针对美国、欧盟、拉美国家、上合组织国家、东盟国家、亚太经合组织国家、</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一带一路</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沿线国家等专题，邀请对外贸易投资热点国别和地区驻华使馆商务官员和工商界代表介绍本国经济发展状况、行业布局及贸易投资环境</w:t>
            </w:r>
          </w:p>
        </w:tc>
      </w:tr>
      <w:tr w:rsidR="00FB60C3" w:rsidTr="00655760">
        <w:trPr>
          <w:trHeight w:val="567"/>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360" w:lineRule="auto"/>
              <w:jc w:val="center"/>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选修课程</w:t>
            </w:r>
          </w:p>
        </w:tc>
        <w:tc>
          <w:tcPr>
            <w:tcW w:w="2834"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国际业务领导力</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商业战略决策过程中需要考虑的政治、文化和法律环境因素</w:t>
            </w:r>
          </w:p>
        </w:tc>
      </w:tr>
      <w:tr w:rsidR="00FB60C3" w:rsidTr="00655760">
        <w:trPr>
          <w:trHeight w:val="529"/>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建立国际职业形象</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国际职业形象必备要素和形象规范</w:t>
            </w:r>
          </w:p>
        </w:tc>
      </w:tr>
      <w:tr w:rsidR="00FB60C3" w:rsidTr="00655760">
        <w:trPr>
          <w:trHeight w:val="439"/>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30"/>
                <w:szCs w:val="30"/>
              </w:rPr>
            </w:pPr>
          </w:p>
        </w:tc>
        <w:tc>
          <w:tcPr>
            <w:tcW w:w="2834"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境外出访学习</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业务交流、项目对接、考察市场环境</w:t>
            </w:r>
          </w:p>
        </w:tc>
      </w:tr>
      <w:tr w:rsidR="00FB60C3" w:rsidTr="00655760">
        <w:trPr>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360" w:lineRule="auto"/>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领军增值</w:t>
            </w:r>
          </w:p>
          <w:p w:rsidR="00FB60C3" w:rsidRDefault="00FB60C3" w:rsidP="00655760">
            <w:pPr>
              <w:adjustRightInd w:val="0"/>
              <w:snapToGrid w:val="0"/>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hint="eastAsia"/>
                <w:b/>
                <w:sz w:val="30"/>
                <w:szCs w:val="30"/>
              </w:rPr>
              <w:t>服务</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领军企业转型升级暨成果交流</w:t>
            </w:r>
          </w:p>
        </w:tc>
        <w:tc>
          <w:tcPr>
            <w:tcW w:w="5668"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转型升级指导</w:t>
            </w:r>
          </w:p>
        </w:tc>
      </w:tr>
      <w:tr w:rsidR="00FB60C3" w:rsidTr="00655760">
        <w:trPr>
          <w:trHeight w:val="441"/>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优秀案例分享</w:t>
            </w:r>
          </w:p>
        </w:tc>
      </w:tr>
      <w:tr w:rsidR="00FB60C3" w:rsidTr="00655760">
        <w:trPr>
          <w:trHeight w:val="479"/>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合作成果交流</w:t>
            </w:r>
          </w:p>
        </w:tc>
      </w:tr>
      <w:tr w:rsidR="00FB60C3" w:rsidTr="00655760">
        <w:trPr>
          <w:trHeight w:val="483"/>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领军企业家巡回周</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前沿咨询、商业模式、系统提升</w:t>
            </w:r>
          </w:p>
        </w:tc>
      </w:tr>
      <w:tr w:rsidR="00FB60C3" w:rsidTr="00655760">
        <w:trPr>
          <w:trHeight w:val="516"/>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领军企业家网络课堂</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宏观经济、政策解读、行业发展</w:t>
            </w:r>
          </w:p>
        </w:tc>
      </w:tr>
      <w:tr w:rsidR="00FB60C3" w:rsidTr="00655760">
        <w:trPr>
          <w:trHeight w:val="482"/>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FB60C3" w:rsidRDefault="00FB60C3" w:rsidP="00655760">
            <w:pPr>
              <w:adjustRightInd w:val="0"/>
              <w:snapToGrid w:val="0"/>
              <w:spacing w:line="5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领军企业家高端交流</w:t>
            </w: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领军企业家沙龙</w:t>
            </w:r>
          </w:p>
        </w:tc>
      </w:tr>
      <w:tr w:rsidR="00FB60C3" w:rsidTr="00655760">
        <w:trPr>
          <w:trHeight w:val="529"/>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《领军企业家》杂志</w:t>
            </w:r>
          </w:p>
        </w:tc>
      </w:tr>
      <w:tr w:rsidR="00FB60C3" w:rsidTr="00655760">
        <w:trPr>
          <w:trHeight w:val="507"/>
        </w:trPr>
        <w:tc>
          <w:tcPr>
            <w:tcW w:w="993"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2834" w:type="dxa"/>
            <w:vMerge/>
            <w:tcBorders>
              <w:top w:val="single" w:sz="4" w:space="0" w:color="auto"/>
              <w:left w:val="single" w:sz="4" w:space="0" w:color="auto"/>
              <w:bottom w:val="single" w:sz="4" w:space="0" w:color="auto"/>
              <w:right w:val="single" w:sz="4" w:space="0" w:color="auto"/>
            </w:tcBorders>
            <w:vAlign w:val="center"/>
          </w:tcPr>
          <w:p w:rsidR="00FB60C3" w:rsidRDefault="00FB60C3" w:rsidP="00655760">
            <w:pPr>
              <w:widowControl/>
              <w:jc w:val="left"/>
              <w:rPr>
                <w:rFonts w:ascii="Times New Roman" w:eastAsia="仿宋_GB2312" w:hAnsi="Times New Roman" w:cs="Times New Roman"/>
                <w:sz w:val="28"/>
                <w:szCs w:val="28"/>
              </w:rPr>
            </w:pPr>
          </w:p>
        </w:tc>
        <w:tc>
          <w:tcPr>
            <w:tcW w:w="5668" w:type="dxa"/>
            <w:tcBorders>
              <w:top w:val="single" w:sz="4" w:space="0" w:color="auto"/>
              <w:left w:val="single" w:sz="4" w:space="0" w:color="auto"/>
              <w:bottom w:val="single" w:sz="4" w:space="0" w:color="auto"/>
              <w:right w:val="single" w:sz="4" w:space="0" w:color="auto"/>
            </w:tcBorders>
          </w:tcPr>
          <w:p w:rsidR="00FB60C3" w:rsidRDefault="00FB60C3" w:rsidP="00655760">
            <w:pPr>
              <w:adjustRightInd w:val="0"/>
              <w:snapToGrid w:val="0"/>
              <w:spacing w:line="48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领军企业家联谊会</w:t>
            </w:r>
          </w:p>
        </w:tc>
      </w:tr>
    </w:tbl>
    <w:p w:rsidR="00340F2F" w:rsidRDefault="001A14DE">
      <w:bookmarkStart w:id="0" w:name="_GoBack"/>
      <w:bookmarkEnd w:id="0"/>
    </w:p>
    <w:sectPr w:rsidR="00340F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4DE" w:rsidRDefault="001A14DE" w:rsidP="00FB60C3">
      <w:r>
        <w:separator/>
      </w:r>
    </w:p>
  </w:endnote>
  <w:endnote w:type="continuationSeparator" w:id="0">
    <w:p w:rsidR="001A14DE" w:rsidRDefault="001A14DE" w:rsidP="00FB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4DE" w:rsidRDefault="001A14DE" w:rsidP="00FB60C3">
      <w:r>
        <w:separator/>
      </w:r>
    </w:p>
  </w:footnote>
  <w:footnote w:type="continuationSeparator" w:id="0">
    <w:p w:rsidR="001A14DE" w:rsidRDefault="001A14DE" w:rsidP="00FB6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06"/>
    <w:rsid w:val="000C4E5F"/>
    <w:rsid w:val="001A14DE"/>
    <w:rsid w:val="002C0206"/>
    <w:rsid w:val="00EA2631"/>
    <w:rsid w:val="00FB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41BB6E-0776-4B36-B2F4-A3CCC949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0C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0C3"/>
    <w:rPr>
      <w:sz w:val="18"/>
      <w:szCs w:val="18"/>
    </w:rPr>
  </w:style>
  <w:style w:type="paragraph" w:styleId="a4">
    <w:name w:val="footer"/>
    <w:basedOn w:val="a"/>
    <w:link w:val="Char0"/>
    <w:uiPriority w:val="99"/>
    <w:unhideWhenUsed/>
    <w:rsid w:val="00FB60C3"/>
    <w:pPr>
      <w:tabs>
        <w:tab w:val="center" w:pos="4153"/>
        <w:tab w:val="right" w:pos="8306"/>
      </w:tabs>
      <w:snapToGrid w:val="0"/>
      <w:jc w:val="left"/>
    </w:pPr>
    <w:rPr>
      <w:sz w:val="18"/>
      <w:szCs w:val="18"/>
    </w:rPr>
  </w:style>
  <w:style w:type="character" w:customStyle="1" w:styleId="Char0">
    <w:name w:val="页脚 Char"/>
    <w:basedOn w:val="a0"/>
    <w:link w:val="a4"/>
    <w:uiPriority w:val="99"/>
    <w:rsid w:val="00FB60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2016-09-05T07:37:00Z</dcterms:created>
  <dcterms:modified xsi:type="dcterms:W3CDTF">2016-09-05T07:37:00Z</dcterms:modified>
</cp:coreProperties>
</file>